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37BD1" w14:textId="77777777" w:rsidR="0049065D" w:rsidRDefault="0049065D" w:rsidP="0049065D">
      <w:pPr>
        <w:jc w:val="center"/>
      </w:pPr>
    </w:p>
    <w:p w14:paraId="518768C7" w14:textId="0AD04994" w:rsidR="00E31456" w:rsidRDefault="0049065D" w:rsidP="0049065D">
      <w:pPr>
        <w:jc w:val="center"/>
      </w:pPr>
      <w:r>
        <w:t>Table of Contents</w:t>
      </w:r>
    </w:p>
    <w:p w14:paraId="716C82B2" w14:textId="77777777" w:rsidR="0049065D" w:rsidRDefault="0049065D" w:rsidP="0049065D">
      <w:pPr>
        <w:jc w:val="center"/>
      </w:pPr>
    </w:p>
    <w:p w14:paraId="005AB1B8" w14:textId="77777777" w:rsidR="0049065D" w:rsidRDefault="0049065D" w:rsidP="0049065D">
      <w:pPr>
        <w:jc w:val="center"/>
      </w:pPr>
    </w:p>
    <w:p w14:paraId="3C4016A3" w14:textId="77777777" w:rsidR="0049065D" w:rsidRDefault="0049065D" w:rsidP="0049065D">
      <w:pPr>
        <w:jc w:val="center"/>
      </w:pPr>
    </w:p>
    <w:p w14:paraId="096533BE" w14:textId="29D731A6" w:rsidR="0049065D" w:rsidRDefault="0049065D" w:rsidP="0049065D">
      <w:r w:rsidRPr="0049065D">
        <w:t xml:space="preserve">INDIVIDUAL TAX ITEMS EXPIRING DECEMBER 31, </w:t>
      </w:r>
      <w:proofErr w:type="gramStart"/>
      <w:r w:rsidRPr="0049065D">
        <w:t>2025</w:t>
      </w:r>
      <w:proofErr w:type="gramEnd"/>
      <w:r>
        <w:tab/>
      </w:r>
      <w:r>
        <w:tab/>
      </w:r>
      <w:r>
        <w:tab/>
      </w:r>
      <w:r>
        <w:tab/>
        <w:t>1</w:t>
      </w:r>
    </w:p>
    <w:p w14:paraId="551BBAF0" w14:textId="63164BD7" w:rsidR="0049065D" w:rsidRDefault="0049065D" w:rsidP="0049065D">
      <w:pPr>
        <w:ind w:firstLine="720"/>
      </w:pPr>
      <w:r w:rsidRPr="0049065D">
        <w:t>Alternative Minimum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6123640" w14:textId="552BFCB8" w:rsidR="0049065D" w:rsidRDefault="0049065D" w:rsidP="0049065D">
      <w:pPr>
        <w:ind w:firstLine="720"/>
      </w:pPr>
      <w:r w:rsidRPr="0049065D">
        <w:t>Casualty Loss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97DF4B0" w14:textId="673A8D34" w:rsidR="0049065D" w:rsidRDefault="0049065D" w:rsidP="0049065D">
      <w:pPr>
        <w:ind w:firstLine="720"/>
      </w:pPr>
      <w:r w:rsidRPr="0049065D">
        <w:t>Charitable Contribution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7FA1579B" w14:textId="072E8285" w:rsidR="0049065D" w:rsidRDefault="0049065D" w:rsidP="0049065D">
      <w:pPr>
        <w:ind w:firstLine="720"/>
      </w:pPr>
      <w:r w:rsidRPr="0049065D">
        <w:t>Child Tax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4427DAE7" w14:textId="2A7C5874" w:rsidR="0049065D" w:rsidRDefault="0049065D" w:rsidP="0049065D">
      <w:pPr>
        <w:ind w:firstLine="720"/>
      </w:pPr>
      <w:r w:rsidRPr="0049065D">
        <w:t>Home Equity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3DCECC4D" w14:textId="2DC97EE4" w:rsidR="0049065D" w:rsidRDefault="0049065D" w:rsidP="0049065D">
      <w:pPr>
        <w:ind w:firstLine="720"/>
      </w:pPr>
      <w:r w:rsidRPr="0049065D">
        <w:t>Individual Income Tax Rates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28A8E65C" w14:textId="0A00914E" w:rsidR="0049065D" w:rsidRDefault="0049065D" w:rsidP="0049065D">
      <w:pPr>
        <w:ind w:firstLine="720"/>
      </w:pPr>
      <w:r w:rsidRPr="0049065D">
        <w:t>Itemized Deductions Limit (the Pease limitation)</w:t>
      </w:r>
      <w:r>
        <w:tab/>
      </w:r>
      <w:r>
        <w:tab/>
      </w:r>
      <w:r>
        <w:tab/>
      </w:r>
      <w:r>
        <w:tab/>
      </w:r>
      <w:r>
        <w:tab/>
        <w:t>3</w:t>
      </w:r>
    </w:p>
    <w:p w14:paraId="78A761FB" w14:textId="77777777" w:rsidR="0049065D" w:rsidRDefault="0049065D" w:rsidP="0049065D">
      <w:pPr>
        <w:ind w:firstLine="720"/>
      </w:pPr>
      <w:r w:rsidRPr="0049065D">
        <w:t>Miscellaneous Itemized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1DC4B5F5" w14:textId="77777777" w:rsidR="0049065D" w:rsidRDefault="0049065D" w:rsidP="0049065D">
      <w:pPr>
        <w:ind w:firstLine="720"/>
      </w:pPr>
      <w:r w:rsidRPr="0049065D">
        <w:t>Mortgage Interest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65459A28" w14:textId="77777777" w:rsidR="0049065D" w:rsidRDefault="0049065D" w:rsidP="0049065D">
      <w:pPr>
        <w:ind w:firstLine="720"/>
      </w:pPr>
      <w:r w:rsidRPr="0049065D">
        <w:t>Moving Expense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1B32A419" w14:textId="7F46586D" w:rsidR="0049065D" w:rsidRDefault="0049065D" w:rsidP="0049065D">
      <w:pPr>
        <w:ind w:firstLine="720"/>
      </w:pPr>
      <w:r w:rsidRPr="0049065D">
        <w:t>Personal Exemptions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52B61976" w14:textId="6C860182" w:rsidR="0049065D" w:rsidRDefault="0049065D" w:rsidP="0049065D">
      <w:pPr>
        <w:ind w:firstLine="720"/>
      </w:pPr>
      <w:r w:rsidRPr="0049065D">
        <w:t>Standard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21FB01D9" w14:textId="77777777" w:rsidR="0049065D" w:rsidRDefault="0049065D" w:rsidP="0049065D">
      <w:pPr>
        <w:ind w:firstLine="720"/>
      </w:pPr>
      <w:r w:rsidRPr="0049065D">
        <w:t>State and Local Tax Deduction (SALT Cap)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71417FDB" w14:textId="77777777" w:rsidR="0049065D" w:rsidRDefault="0049065D" w:rsidP="0049065D"/>
    <w:p w14:paraId="7E1E2FB3" w14:textId="77777777" w:rsidR="0049065D" w:rsidRDefault="0049065D" w:rsidP="0049065D">
      <w:r w:rsidRPr="0049065D">
        <w:t xml:space="preserve">BUSINESS TAX ITEMS EXPIRING DECEMBER 31, </w:t>
      </w:r>
      <w:proofErr w:type="gramStart"/>
      <w:r w:rsidRPr="0049065D">
        <w:t>2025</w:t>
      </w:r>
      <w:proofErr w:type="gramEnd"/>
      <w:r>
        <w:tab/>
      </w:r>
      <w:r>
        <w:tab/>
      </w:r>
      <w:r>
        <w:tab/>
      </w:r>
      <w:r>
        <w:tab/>
      </w:r>
      <w:r>
        <w:tab/>
        <w:t>6</w:t>
      </w:r>
    </w:p>
    <w:p w14:paraId="3270E9C1" w14:textId="77777777" w:rsidR="0049065D" w:rsidRDefault="0049065D" w:rsidP="0049065D">
      <w:pPr>
        <w:ind w:firstLine="720"/>
      </w:pPr>
      <w:r w:rsidRPr="0049065D">
        <w:t>Bonus Depreciation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422E5206" w14:textId="77777777" w:rsidR="0049065D" w:rsidRDefault="0049065D" w:rsidP="0049065D">
      <w:pPr>
        <w:ind w:firstLine="720"/>
      </w:pPr>
      <w:r w:rsidRPr="0049065D">
        <w:t>Interest Expense Deduction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6643A7A3" w14:textId="77777777" w:rsidR="0049065D" w:rsidRDefault="0049065D" w:rsidP="0049065D">
      <w:pPr>
        <w:ind w:firstLine="720"/>
      </w:pPr>
      <w:r w:rsidRPr="0049065D">
        <w:t>The 199A qualified Business Income 20% Deduction</w:t>
      </w:r>
      <w:r>
        <w:tab/>
      </w:r>
      <w:r>
        <w:tab/>
      </w:r>
      <w:r>
        <w:tab/>
      </w:r>
      <w:r>
        <w:tab/>
        <w:t>6</w:t>
      </w:r>
    </w:p>
    <w:p w14:paraId="5AD6E35B" w14:textId="77777777" w:rsidR="0049065D" w:rsidRDefault="0049065D" w:rsidP="0049065D"/>
    <w:p w14:paraId="31F16548" w14:textId="77777777" w:rsidR="0049065D" w:rsidRDefault="0049065D" w:rsidP="0049065D">
      <w:r w:rsidRPr="0049065D">
        <w:t>ESTATE AND GIFT TAX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3B658B38" w14:textId="77777777" w:rsidR="0049065D" w:rsidRDefault="0049065D" w:rsidP="0049065D"/>
    <w:p w14:paraId="25DA5573" w14:textId="77777777" w:rsidR="0049065D" w:rsidRDefault="0049065D" w:rsidP="0049065D">
      <w:r w:rsidRPr="0049065D">
        <w:t>PLANNING FOR TCJA EXPIRATION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7CB5A137" w14:textId="77777777" w:rsidR="0049065D" w:rsidRDefault="0049065D" w:rsidP="0049065D">
      <w:pPr>
        <w:ind w:firstLine="720"/>
      </w:pPr>
      <w:r w:rsidRPr="0049065D">
        <w:t>Reconsider Timing of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05B2C08A" w14:textId="77777777" w:rsidR="0049065D" w:rsidRDefault="0049065D" w:rsidP="0049065D">
      <w:pPr>
        <w:ind w:firstLine="720"/>
      </w:pPr>
      <w:r w:rsidRPr="0049065D">
        <w:t>Maximize Retirement RMD Tools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2803288E" w14:textId="77777777" w:rsidR="0049065D" w:rsidRDefault="0049065D" w:rsidP="0049065D">
      <w:pPr>
        <w:ind w:firstLine="720"/>
      </w:pPr>
      <w:r w:rsidRPr="0049065D">
        <w:t>Consider Roth Conversions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67881FDC" w14:textId="77777777" w:rsidR="0049065D" w:rsidRDefault="0049065D" w:rsidP="0049065D">
      <w:pPr>
        <w:ind w:firstLine="720"/>
      </w:pPr>
      <w:r w:rsidRPr="0049065D">
        <w:t>Utilize Capital Gains Tax Rates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3751D203" w14:textId="77777777" w:rsidR="0049065D" w:rsidRDefault="0049065D" w:rsidP="0049065D">
      <w:pPr>
        <w:ind w:firstLine="720"/>
      </w:pPr>
      <w:r w:rsidRPr="0049065D">
        <w:t>Consider Optimal Timing of Charitable Giving</w:t>
      </w:r>
      <w:r>
        <w:tab/>
      </w:r>
      <w:r>
        <w:tab/>
      </w:r>
      <w:r>
        <w:tab/>
      </w:r>
      <w:r>
        <w:tab/>
      </w:r>
      <w:r>
        <w:tab/>
        <w:t>7</w:t>
      </w:r>
    </w:p>
    <w:p w14:paraId="201154ED" w14:textId="77777777" w:rsidR="0049065D" w:rsidRDefault="0049065D" w:rsidP="0049065D">
      <w:pPr>
        <w:ind w:firstLine="720"/>
      </w:pPr>
      <w:r w:rsidRPr="0049065D">
        <w:t>Maximize Health Savings Account (HSA) Contributions</w:t>
      </w:r>
      <w:r>
        <w:tab/>
      </w:r>
      <w:r>
        <w:tab/>
      </w:r>
      <w:r>
        <w:tab/>
      </w:r>
      <w:r>
        <w:tab/>
        <w:t>7</w:t>
      </w:r>
    </w:p>
    <w:p w14:paraId="1F6BBA0C" w14:textId="77777777" w:rsidR="0049065D" w:rsidRDefault="0049065D" w:rsidP="0049065D">
      <w:pPr>
        <w:ind w:firstLine="720"/>
      </w:pPr>
      <w:r w:rsidRPr="0049065D">
        <w:t>Contribute to 529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219D181A" w14:textId="77777777" w:rsidR="0049065D" w:rsidRDefault="0049065D" w:rsidP="0049065D">
      <w:pPr>
        <w:ind w:firstLine="720"/>
      </w:pPr>
      <w:r w:rsidRPr="0049065D">
        <w:t xml:space="preserve">Utilize </w:t>
      </w:r>
      <w:proofErr w:type="spellStart"/>
      <w:r w:rsidRPr="0049065D">
        <w:t>Taxspeaker’s</w:t>
      </w:r>
      <w:proofErr w:type="spellEnd"/>
      <w:r w:rsidRPr="0049065D">
        <w:t xml:space="preserve"> Terminator Roth IRA Concept</w:t>
      </w:r>
      <w:r>
        <w:tab/>
      </w:r>
      <w:r>
        <w:tab/>
      </w:r>
      <w:r>
        <w:tab/>
      </w:r>
      <w:r>
        <w:tab/>
      </w:r>
      <w:r>
        <w:tab/>
        <w:t>7</w:t>
      </w:r>
    </w:p>
    <w:p w14:paraId="346C44E6" w14:textId="77777777" w:rsidR="0049065D" w:rsidRDefault="0049065D" w:rsidP="0049065D"/>
    <w:p w14:paraId="03C6296E" w14:textId="0EE2DA62" w:rsidR="0049065D" w:rsidRDefault="0049065D" w:rsidP="0049065D">
      <w:r w:rsidRPr="0049065D">
        <w:t>Future Value Calculator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  <w:r>
        <w:br/>
      </w:r>
    </w:p>
    <w:p w14:paraId="0CA5AA4B" w14:textId="77777777" w:rsidR="0049065D" w:rsidRPr="0049065D" w:rsidRDefault="0049065D" w:rsidP="0049065D"/>
    <w:p w14:paraId="160332DE" w14:textId="77777777" w:rsidR="0049065D" w:rsidRPr="0049065D" w:rsidRDefault="0049065D" w:rsidP="0049065D"/>
    <w:p w14:paraId="443CA68B" w14:textId="77777777" w:rsidR="0049065D" w:rsidRPr="0049065D" w:rsidRDefault="0049065D" w:rsidP="0049065D"/>
    <w:p w14:paraId="276802AB" w14:textId="77777777" w:rsidR="0049065D" w:rsidRPr="0049065D" w:rsidRDefault="0049065D" w:rsidP="0049065D"/>
    <w:p w14:paraId="666A945B" w14:textId="77777777" w:rsidR="0049065D" w:rsidRPr="0049065D" w:rsidRDefault="0049065D" w:rsidP="0049065D"/>
    <w:p w14:paraId="6A8F820A" w14:textId="77777777" w:rsidR="0049065D" w:rsidRDefault="0049065D" w:rsidP="0049065D"/>
    <w:p w14:paraId="2EB91D88" w14:textId="77777777" w:rsidR="0049065D" w:rsidRDefault="0049065D" w:rsidP="0049065D"/>
    <w:p w14:paraId="60A02296" w14:textId="7A5BAD81" w:rsidR="0049065D" w:rsidRPr="0049065D" w:rsidRDefault="0049065D" w:rsidP="0049065D">
      <w:pPr>
        <w:tabs>
          <w:tab w:val="left" w:pos="4228"/>
        </w:tabs>
      </w:pPr>
      <w:r>
        <w:tab/>
      </w:r>
    </w:p>
    <w:sectPr w:rsidR="0049065D" w:rsidRPr="0049065D" w:rsidSect="0049065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514C0" w14:textId="77777777" w:rsidR="00A03A91" w:rsidRDefault="00A03A91" w:rsidP="0049065D">
      <w:r>
        <w:separator/>
      </w:r>
    </w:p>
  </w:endnote>
  <w:endnote w:type="continuationSeparator" w:id="0">
    <w:p w14:paraId="6C4298B6" w14:textId="77777777" w:rsidR="00A03A91" w:rsidRDefault="00A03A91" w:rsidP="0049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8967A" w14:textId="15CE2BC2" w:rsidR="0049065D" w:rsidRPr="0049065D" w:rsidRDefault="0049065D" w:rsidP="0049065D">
    <w:pPr>
      <w:pStyle w:val="Footer"/>
      <w:jc w:val="right"/>
      <w:rPr>
        <w:sz w:val="20"/>
        <w:szCs w:val="21"/>
      </w:rPr>
    </w:pPr>
    <w:r w:rsidRPr="0049065D">
      <w:rPr>
        <w:noProof/>
        <w:sz w:val="20"/>
        <w:szCs w:val="21"/>
      </w:rPr>
      <w:drawing>
        <wp:anchor distT="0" distB="0" distL="114300" distR="114300" simplePos="0" relativeHeight="251658240" behindDoc="1" locked="0" layoutInCell="1" allowOverlap="1" wp14:anchorId="217167E0" wp14:editId="295AE91A">
          <wp:simplePos x="0" y="0"/>
          <wp:positionH relativeFrom="column">
            <wp:posOffset>47234</wp:posOffset>
          </wp:positionH>
          <wp:positionV relativeFrom="paragraph">
            <wp:posOffset>-6741</wp:posOffset>
          </wp:positionV>
          <wp:extent cx="1406769" cy="287065"/>
          <wp:effectExtent l="0" t="0" r="3175" b="5080"/>
          <wp:wrapNone/>
          <wp:docPr id="609951822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951822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769" cy="28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65D">
      <w:rPr>
        <w:sz w:val="20"/>
        <w:szCs w:val="21"/>
      </w:rPr>
      <w:t>Table of Contents</w:t>
    </w:r>
  </w:p>
  <w:p w14:paraId="06CB900D" w14:textId="4E13001F" w:rsidR="0049065D" w:rsidRPr="0049065D" w:rsidRDefault="0049065D" w:rsidP="0049065D">
    <w:pPr>
      <w:pStyle w:val="Footer"/>
      <w:jc w:val="right"/>
      <w:rPr>
        <w:sz w:val="20"/>
        <w:szCs w:val="21"/>
      </w:rPr>
    </w:pPr>
    <w:r w:rsidRPr="0049065D">
      <w:rPr>
        <w:sz w:val="20"/>
        <w:szCs w:val="21"/>
      </w:rPr>
      <w:t>Copyright © 2024-2025</w:t>
    </w:r>
    <w:r w:rsidRPr="0049065D">
      <w:rPr>
        <w:sz w:val="20"/>
        <w:szCs w:val="21"/>
      </w:rPr>
      <w:t xml:space="preserve">, </w:t>
    </w:r>
    <w:r w:rsidRPr="0049065D">
      <w:rPr>
        <w:sz w:val="20"/>
        <w:szCs w:val="21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68FF1" w14:textId="77777777" w:rsidR="00A03A91" w:rsidRDefault="00A03A91" w:rsidP="0049065D">
      <w:r>
        <w:separator/>
      </w:r>
    </w:p>
  </w:footnote>
  <w:footnote w:type="continuationSeparator" w:id="0">
    <w:p w14:paraId="4EF73581" w14:textId="77777777" w:rsidR="00A03A91" w:rsidRDefault="00A03A91" w:rsidP="00490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10835" w14:textId="59985B07" w:rsidR="0049065D" w:rsidRDefault="0049065D" w:rsidP="0049065D">
    <w:pPr>
      <w:pStyle w:val="Header"/>
      <w:jc w:val="right"/>
    </w:pPr>
    <w:r>
      <w:t>2024 TCJA Expiring Business and Individual Tax Effects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5D"/>
    <w:rsid w:val="00040B8D"/>
    <w:rsid w:val="001A4AE2"/>
    <w:rsid w:val="002E3422"/>
    <w:rsid w:val="0049065D"/>
    <w:rsid w:val="00536789"/>
    <w:rsid w:val="005B0E17"/>
    <w:rsid w:val="006B07FE"/>
    <w:rsid w:val="007965CA"/>
    <w:rsid w:val="00822D29"/>
    <w:rsid w:val="00A03A91"/>
    <w:rsid w:val="00AD2332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2E265"/>
  <w15:chartTrackingRefBased/>
  <w15:docId w15:val="{00D969BC-5FE9-8A42-92D8-2F01EB7F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6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6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6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6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6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6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6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65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6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6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6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6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6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6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6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65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6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6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6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6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6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6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6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06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65D"/>
  </w:style>
  <w:style w:type="paragraph" w:styleId="Footer">
    <w:name w:val="footer"/>
    <w:basedOn w:val="Normal"/>
    <w:link w:val="FooterChar"/>
    <w:uiPriority w:val="99"/>
    <w:unhideWhenUsed/>
    <w:rsid w:val="004906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2024-09-30T17:46:00Z</dcterms:created>
  <dcterms:modified xsi:type="dcterms:W3CDTF">2024-09-30T17:51:00Z</dcterms:modified>
</cp:coreProperties>
</file>